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28"/>
          <w:szCs w:val="28"/>
          <w:rtl w:val="0"/>
        </w:rPr>
        <w:t xml:space="preserve">Write a letter addressed to decision-makers. In it, reflect on how social media systems from your perspective.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ind w:left="-566.9291338582677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32"/>
          <w:szCs w:val="32"/>
          <w:rtl w:val="0"/>
        </w:rPr>
        <w:t xml:space="preserve">A letter to decision-makers: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down your answer)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Fonts w:ascii="Barlow" w:cs="Barlow" w:eastAsia="Barlow" w:hAnsi="Barlow"/>
          <w:i w:val="1"/>
          <w:color w:val="9c27b0"/>
          <w:sz w:val="24"/>
          <w:szCs w:val="24"/>
          <w:rtl w:val="0"/>
        </w:rPr>
        <w:t xml:space="preserve">Jatka tarvittaessa toiselle sivulle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down your answer)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line="192.00000000000003" w:lineRule="auto"/>
      <w:ind w:left="-850.3937007874016" w:firstLine="0"/>
      <w:rPr>
        <w:rFonts w:ascii="Barlow" w:cs="Barlow" w:eastAsia="Barlow" w:hAnsi="Barlow"/>
        <w:b w:val="1"/>
        <w:color w:val="9c27b0"/>
        <w:sz w:val="48"/>
        <w:szCs w:val="48"/>
      </w:rPr>
    </w:pPr>
    <w:r w:rsidDel="00000000" w:rsidR="00000000" w:rsidRPr="00000000">
      <w:rPr>
        <w:rFonts w:ascii="Barlow" w:cs="Barlow" w:eastAsia="Barlow" w:hAnsi="Barlow"/>
        <w:b w:val="1"/>
        <w:color w:val="9c27b0"/>
        <w:sz w:val="48"/>
        <w:szCs w:val="48"/>
        <w:rtl w:val="0"/>
      </w:rPr>
      <w:t xml:space="preserve">Letter to decision makers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-371474</wp:posOffset>
          </wp:positionV>
          <wp:extent cx="1752600" cy="28575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696" l="0" r="75433" t="0"/>
                  <a:stretch>
                    <a:fillRect/>
                  </a:stretch>
                </pic:blipFill>
                <pic:spPr>
                  <a:xfrm>
                    <a:off x="0" y="0"/>
                    <a:ext cx="175260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spacing w:line="96.00000000000001" w:lineRule="auto"/>
      <w:ind w:left="-850.3937007874016" w:right="-749.5275590551165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